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西南医科大学</w:t>
      </w:r>
    </w:p>
    <w:p>
      <w:pPr>
        <w:jc w:val="center"/>
        <w:rPr>
          <w:rFonts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2020年诚聘海内外英才</w:t>
      </w:r>
    </w:p>
    <w:p>
      <w:pPr>
        <w:spacing w:line="540" w:lineRule="exact"/>
        <w:ind w:firstLine="560" w:firstLineChars="200"/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 xml:space="preserve"> 西南医科大学是四川省省属普通高等院校，坐落在川滇黔渝结合部的泸州。泸州，是“国家历史文化名城”“全国双拥模范城”“国家卫生城市”“中国优秀旅游城市”“国家森林城市”“国家园林城市”“全国文明城市”。</w:t>
      </w:r>
    </w:p>
    <w:p>
      <w:pPr>
        <w:spacing w:line="540" w:lineRule="exact"/>
        <w:ind w:firstLine="560" w:firstLineChars="200"/>
        <w:rPr>
          <w:rFonts w:hint="eastAsia"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西南医科大学现有31个普通本科专业，涵盖医学、理学、工学、管理学、教育学、文学、法学等7个学科门类，有国家级特色专业3个，省级特色专业3个，省级应用型示范专业5个，省级一流本科专业建设点11个。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sz w:val="28"/>
          <w:szCs w:val="28"/>
        </w:rPr>
        <w:t>学校承担了国家级卓越医生教育培养计划项目、卓越医生（中医）教育培养计划项目，是国家级临床医学专业综合改革试点、全国首批临床医学硕士专业学位研究生培养模式改革试点高校，四川省首批卓越法律人才教育培养计划示范性实践教学基地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eastAsia="zh-CN"/>
        </w:rPr>
        <w:t>；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>有各级各类科研平台59个，其中教育部重点实验室1个，国家级博士后科研工作站1个，国家药物临床试验机构1个，省级重点实验室2个，四川省国际合作基地、工程实验室各1个，四川省2011协同创新中心1 个，院士（专家）工作站3个。近3年获批厅局级及以上科技创新团队30个、科技创新平台10个，获省部级以上科技成果奖21项。</w:t>
      </w:r>
    </w:p>
    <w:p>
      <w:pPr>
        <w:spacing w:line="540" w:lineRule="exact"/>
        <w:ind w:firstLine="560" w:firstLineChars="200"/>
        <w:rPr>
          <w:rFonts w:hint="eastAsia"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学校有3所直属附属医院，有国家临床教学培训示范中心1个、国家级大学生校外实践教学基地1个，有国家级、省部级医学重点学科（专科）35个、是国家级“胸痛中心”“高级卒中中心”“心衰中心”、国家中医临床研究基地建设单位、四川省妇科及乳腺疾病治疗中心，是国家卫健委冠心病介入培训基地，建成了中国-葡语系国家和地区中医药国际合作基地，作为西南四省（市）结合区域的省级医疗中心，为川渝滇黔结合区域近4000万人民健康保驾护航。</w:t>
      </w:r>
    </w:p>
    <w:p>
      <w:pPr>
        <w:spacing w:line="540" w:lineRule="exact"/>
        <w:ind w:firstLine="560" w:firstLineChars="200"/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现面向海内外诚聘各类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u w:val="single"/>
        </w:rPr>
        <w:t>博士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>英才（年龄一般不超过45周岁），具体如下：</w:t>
      </w:r>
    </w:p>
    <w:p>
      <w:pPr>
        <w:spacing w:line="540" w:lineRule="exact"/>
        <w:ind w:firstLine="562" w:firstLineChars="200"/>
        <w:rPr>
          <w:rFonts w:asciiTheme="majorEastAsia" w:hAnsiTheme="majorEastAsia" w:eastAsiaTheme="majorEastAsia" w:cs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sz w:val="28"/>
          <w:szCs w:val="28"/>
        </w:rPr>
        <w:t>一、需求专业</w:t>
      </w:r>
    </w:p>
    <w:tbl>
      <w:tblPr>
        <w:tblStyle w:val="7"/>
        <w:tblW w:w="84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2102"/>
        <w:gridCol w:w="53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07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2102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学科门类</w:t>
            </w:r>
          </w:p>
        </w:tc>
        <w:tc>
          <w:tcPr>
            <w:tcW w:w="5371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需求专业                     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（含一级学科覆盖的二、三级专业）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</w:trPr>
        <w:tc>
          <w:tcPr>
            <w:tcW w:w="10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10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医学类</w:t>
            </w:r>
          </w:p>
        </w:tc>
        <w:tc>
          <w:tcPr>
            <w:tcW w:w="537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基础医学、临床医学、口腔医学、公共卫生与预防医学、中医学、中西医结合、药学、中药学、护理学、医学技术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0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10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法学类</w:t>
            </w:r>
          </w:p>
        </w:tc>
        <w:tc>
          <w:tcPr>
            <w:tcW w:w="537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法学、马克思主义理论、政治学、社会学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0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10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管理学类</w:t>
            </w:r>
          </w:p>
        </w:tc>
        <w:tc>
          <w:tcPr>
            <w:tcW w:w="5371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管理科学与工程、工商管理、公共管理、图书情报与档案管理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0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10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教育学类</w:t>
            </w:r>
          </w:p>
        </w:tc>
        <w:tc>
          <w:tcPr>
            <w:tcW w:w="537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教育学、心理学、体育学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0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10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文学类</w:t>
            </w:r>
          </w:p>
        </w:tc>
        <w:tc>
          <w:tcPr>
            <w:tcW w:w="537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外国语言文学（英语方向）、中国语言文学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0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10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理学类</w:t>
            </w:r>
          </w:p>
        </w:tc>
        <w:tc>
          <w:tcPr>
            <w:tcW w:w="537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数学、物理学、化学、生物学、统计学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10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10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工学类</w:t>
            </w:r>
          </w:p>
        </w:tc>
        <w:tc>
          <w:tcPr>
            <w:tcW w:w="5371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光学工程、生物医学工程、计算机科学与技术、信息与通信工程、电子科学与技术、软件工程、生物工程、食品科学与工程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10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10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哲学类</w:t>
            </w:r>
          </w:p>
        </w:tc>
        <w:tc>
          <w:tcPr>
            <w:tcW w:w="537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10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210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经济学类</w:t>
            </w:r>
          </w:p>
        </w:tc>
        <w:tc>
          <w:tcPr>
            <w:tcW w:w="537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理论经济学、应用经济学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</w:trPr>
        <w:tc>
          <w:tcPr>
            <w:tcW w:w="100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210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历史学类</w:t>
            </w:r>
          </w:p>
        </w:tc>
        <w:tc>
          <w:tcPr>
            <w:tcW w:w="537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中国史、世界史</w:t>
            </w:r>
          </w:p>
        </w:tc>
      </w:tr>
    </w:tbl>
    <w:p/>
    <w:p>
      <w:pPr>
        <w:spacing w:line="540" w:lineRule="exact"/>
        <w:ind w:firstLine="560" w:firstLineChars="200"/>
        <w:rPr>
          <w:rFonts w:asciiTheme="majorEastAsia" w:hAnsiTheme="majorEastAsia" w:eastAsiaTheme="majorEastAsia" w:cstheme="majorEastAsia"/>
          <w:sz w:val="28"/>
          <w:szCs w:val="28"/>
        </w:rPr>
      </w:pPr>
    </w:p>
    <w:p>
      <w:pPr>
        <w:spacing w:line="540" w:lineRule="exact"/>
        <w:ind w:firstLine="562" w:firstLineChars="200"/>
        <w:rPr>
          <w:rFonts w:asciiTheme="majorEastAsia" w:hAnsiTheme="majorEastAsia" w:eastAsiaTheme="majorEastAsia" w:cstheme="majorEastAsia"/>
          <w:b/>
          <w:bCs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sz w:val="28"/>
          <w:szCs w:val="28"/>
        </w:rPr>
        <w:t>二、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引进待遇(人民币，下同)</w:t>
      </w:r>
    </w:p>
    <w:tbl>
      <w:tblPr>
        <w:tblStyle w:val="7"/>
        <w:tblW w:w="87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1719"/>
        <w:gridCol w:w="1776"/>
        <w:gridCol w:w="2610"/>
        <w:gridCol w:w="1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6" w:type="dxa"/>
            <w:vAlign w:val="center"/>
          </w:tcPr>
          <w:p>
            <w:pPr>
              <w:spacing w:line="540" w:lineRule="exact"/>
              <w:jc w:val="center"/>
              <w:rPr>
                <w:rFonts w:asciiTheme="majorEastAsia" w:hAnsiTheme="majorEastAsia" w:eastAsiaTheme="majorEastAsia" w:cstheme="majorEastAsia"/>
                <w:color w:val="000000" w:themeColor="text1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8"/>
                <w:szCs w:val="28"/>
              </w:rPr>
              <w:t>引进类别</w:t>
            </w:r>
          </w:p>
        </w:tc>
        <w:tc>
          <w:tcPr>
            <w:tcW w:w="1719" w:type="dxa"/>
            <w:vAlign w:val="center"/>
          </w:tcPr>
          <w:p>
            <w:pPr>
              <w:spacing w:line="540" w:lineRule="exact"/>
              <w:jc w:val="center"/>
              <w:rPr>
                <w:rFonts w:asciiTheme="majorEastAsia" w:hAnsiTheme="majorEastAsia" w:eastAsiaTheme="majorEastAsia" w:cstheme="majorEastAsia"/>
                <w:color w:val="000000" w:themeColor="text1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8"/>
                <w:szCs w:val="28"/>
              </w:rPr>
              <w:t>安家费</w:t>
            </w:r>
          </w:p>
        </w:tc>
        <w:tc>
          <w:tcPr>
            <w:tcW w:w="1776" w:type="dxa"/>
            <w:vAlign w:val="center"/>
          </w:tcPr>
          <w:p>
            <w:pPr>
              <w:spacing w:line="540" w:lineRule="exact"/>
              <w:jc w:val="center"/>
              <w:rPr>
                <w:rFonts w:asciiTheme="majorEastAsia" w:hAnsiTheme="majorEastAsia" w:eastAsiaTheme="majorEastAsia" w:cstheme="majorEastAsia"/>
                <w:color w:val="000000" w:themeColor="text1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8"/>
                <w:szCs w:val="28"/>
              </w:rPr>
              <w:t>租房补贴</w:t>
            </w:r>
          </w:p>
        </w:tc>
        <w:tc>
          <w:tcPr>
            <w:tcW w:w="2610" w:type="dxa"/>
            <w:vAlign w:val="center"/>
          </w:tcPr>
          <w:p>
            <w:pPr>
              <w:spacing w:line="540" w:lineRule="exact"/>
              <w:jc w:val="center"/>
              <w:rPr>
                <w:rFonts w:asciiTheme="majorEastAsia" w:hAnsiTheme="majorEastAsia" w:eastAsiaTheme="majorEastAsia" w:cstheme="majorEastAsia"/>
                <w:color w:val="000000" w:themeColor="text1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8"/>
                <w:szCs w:val="28"/>
              </w:rPr>
              <w:t>薪酬及待遇</w:t>
            </w:r>
          </w:p>
        </w:tc>
        <w:tc>
          <w:tcPr>
            <w:tcW w:w="1230" w:type="dxa"/>
          </w:tcPr>
          <w:p>
            <w:pPr>
              <w:spacing w:line="540" w:lineRule="exact"/>
              <w:rPr>
                <w:rFonts w:asciiTheme="majorEastAsia" w:hAnsiTheme="majorEastAsia" w:eastAsiaTheme="majorEastAsia" w:cstheme="majorEastAsia"/>
                <w:color w:val="000000" w:themeColor="text1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8"/>
                <w:szCs w:val="28"/>
              </w:rPr>
              <w:t>科研启动经费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366" w:type="dxa"/>
            <w:vAlign w:val="center"/>
          </w:tcPr>
          <w:p>
            <w:pPr>
              <w:spacing w:line="540" w:lineRule="exact"/>
              <w:jc w:val="center"/>
              <w:rPr>
                <w:rFonts w:asciiTheme="majorEastAsia" w:hAnsiTheme="majorEastAsia" w:eastAsiaTheme="majorEastAsia" w:cstheme="majorEastAsia"/>
                <w:color w:val="000000" w:themeColor="text1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8"/>
                <w:szCs w:val="28"/>
              </w:rPr>
              <w:t>A类博士</w:t>
            </w:r>
          </w:p>
        </w:tc>
        <w:tc>
          <w:tcPr>
            <w:tcW w:w="1719" w:type="dxa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</w:rPr>
              <w:t>28-33万元(自然学科,税后）；23-28万元（人文学科,税后）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Theme="majorEastAsia" w:hAnsiTheme="majorEastAsia" w:eastAsiaTheme="majorEastAsia" w:cstheme="majorEastAsia"/>
                <w:color w:val="000000" w:themeColor="text1"/>
                <w:sz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</w:rPr>
              <w:t>（含当地政府发放的安家费及生活补贴。学校发放部分按12个月平均发放）</w:t>
            </w:r>
          </w:p>
        </w:tc>
        <w:tc>
          <w:tcPr>
            <w:tcW w:w="1776" w:type="dxa"/>
            <w:vMerge w:val="restart"/>
          </w:tcPr>
          <w:p>
            <w:pPr>
              <w:spacing w:line="540" w:lineRule="exact"/>
              <w:rPr>
                <w:rFonts w:asciiTheme="majorEastAsia" w:hAnsiTheme="majorEastAsia" w:eastAsiaTheme="majorEastAsia" w:cstheme="majorEastAsia"/>
                <w:color w:val="000000" w:themeColor="text1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</w:rPr>
              <w:t>提供房租补贴1500元/月，最长24个月。</w:t>
            </w:r>
          </w:p>
        </w:tc>
        <w:tc>
          <w:tcPr>
            <w:tcW w:w="2610" w:type="dxa"/>
          </w:tcPr>
          <w:p>
            <w:pPr>
              <w:spacing w:line="540" w:lineRule="exact"/>
              <w:rPr>
                <w:rFonts w:asciiTheme="majorEastAsia" w:hAnsiTheme="majorEastAsia" w:eastAsiaTheme="majorEastAsia" w:cstheme="majorEastAsia"/>
                <w:color w:val="000000" w:themeColor="text1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</w:rPr>
              <w:t>基本工资标准按国家政策兑现中级职称待遇（专十级），校内绩效享受校聘副教授待遇2年，2年后按实际职称兑现待遇</w:t>
            </w:r>
          </w:p>
        </w:tc>
        <w:tc>
          <w:tcPr>
            <w:tcW w:w="1230" w:type="dxa"/>
            <w:vAlign w:val="center"/>
          </w:tcPr>
          <w:p>
            <w:pPr>
              <w:spacing w:line="540" w:lineRule="exact"/>
              <w:jc w:val="center"/>
              <w:rPr>
                <w:rFonts w:asciiTheme="majorEastAsia" w:hAnsiTheme="majorEastAsia" w:eastAsiaTheme="majorEastAsia" w:cstheme="majorEastAsia"/>
                <w:color w:val="000000" w:themeColor="text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Cs w:val="21"/>
              </w:rPr>
              <w:t>人文学科类：10-15万元；自然学科类：15-20万元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6" w:type="dxa"/>
            <w:vAlign w:val="center"/>
          </w:tcPr>
          <w:p>
            <w:pPr>
              <w:spacing w:line="540" w:lineRule="exact"/>
              <w:jc w:val="center"/>
              <w:rPr>
                <w:rFonts w:asciiTheme="majorEastAsia" w:hAnsiTheme="majorEastAsia" w:eastAsiaTheme="majorEastAsia" w:cstheme="majorEastAsia"/>
                <w:color w:val="000000" w:themeColor="text1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8"/>
                <w:szCs w:val="28"/>
              </w:rPr>
              <w:t>B类博士</w:t>
            </w:r>
          </w:p>
        </w:tc>
        <w:tc>
          <w:tcPr>
            <w:tcW w:w="1719" w:type="dxa"/>
          </w:tcPr>
          <w:p>
            <w:pPr>
              <w:pStyle w:val="5"/>
              <w:rPr>
                <w:rFonts w:ascii="宋体" w:hAnsi="宋体" w:eastAsia="宋体" w:cs="宋体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</w:rPr>
              <w:t>23-28万元（自然学科,税后）；18-23（人文学科,税后）</w:t>
            </w:r>
          </w:p>
          <w:p>
            <w:pPr>
              <w:pStyle w:val="5"/>
              <w:rPr>
                <w:rFonts w:asciiTheme="majorEastAsia" w:hAnsiTheme="majorEastAsia" w:eastAsiaTheme="majorEastAsia" w:cstheme="majorEastAsia"/>
                <w:color w:val="000000" w:themeColor="text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</w:rPr>
              <w:t>（含当地政府发放的安家费及生活补贴,学校发放部分按12个月平均发放）</w:t>
            </w:r>
          </w:p>
        </w:tc>
        <w:tc>
          <w:tcPr>
            <w:tcW w:w="1776" w:type="dxa"/>
            <w:vMerge w:val="continue"/>
          </w:tcPr>
          <w:p>
            <w:pPr>
              <w:spacing w:line="540" w:lineRule="exact"/>
              <w:rPr>
                <w:rFonts w:asciiTheme="majorEastAsia" w:hAnsiTheme="majorEastAsia" w:eastAsiaTheme="majorEastAsia" w:cstheme="majorEastAsia"/>
                <w:color w:val="000000" w:themeColor="text1"/>
                <w:sz w:val="24"/>
              </w:rPr>
            </w:pPr>
          </w:p>
        </w:tc>
        <w:tc>
          <w:tcPr>
            <w:tcW w:w="2610" w:type="dxa"/>
          </w:tcPr>
          <w:p>
            <w:pPr>
              <w:spacing w:line="540" w:lineRule="exact"/>
              <w:rPr>
                <w:rFonts w:asciiTheme="majorEastAsia" w:hAnsiTheme="majorEastAsia" w:eastAsiaTheme="majorEastAsia" w:cstheme="majorEastAsia"/>
                <w:color w:val="000000" w:themeColor="text1"/>
                <w:sz w:val="24"/>
              </w:rPr>
            </w:pPr>
          </w:p>
          <w:p>
            <w:pPr>
              <w:spacing w:line="540" w:lineRule="exact"/>
              <w:rPr>
                <w:rFonts w:asciiTheme="majorEastAsia" w:hAnsiTheme="majorEastAsia" w:eastAsiaTheme="majorEastAsia" w:cstheme="majorEastAsia"/>
                <w:color w:val="000000" w:themeColor="text1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</w:rPr>
              <w:t>工资标准及校内绩效执行中级职称待遇（专十级）</w:t>
            </w:r>
          </w:p>
        </w:tc>
        <w:tc>
          <w:tcPr>
            <w:tcW w:w="1230" w:type="dxa"/>
            <w:vAlign w:val="center"/>
          </w:tcPr>
          <w:p>
            <w:pPr>
              <w:spacing w:line="540" w:lineRule="exact"/>
              <w:jc w:val="center"/>
              <w:rPr>
                <w:rFonts w:asciiTheme="majorEastAsia" w:hAnsiTheme="majorEastAsia" w:eastAsiaTheme="majorEastAsia" w:cstheme="majorEastAsia"/>
                <w:color w:val="000000" w:themeColor="text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Cs w:val="21"/>
              </w:rPr>
              <w:t>人文学科类：5-10万元；自然学科类：10-15万元</w:t>
            </w:r>
          </w:p>
        </w:tc>
      </w:tr>
    </w:tbl>
    <w:p>
      <w:pPr>
        <w:spacing w:line="540" w:lineRule="exact"/>
        <w:ind w:firstLine="480" w:firstLineChars="200"/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sz w:val="24"/>
        </w:rPr>
        <w:t>注：A类博士业绩要求（近三年）：</w:t>
      </w:r>
    </w:p>
    <w:p>
      <w:pPr>
        <w:spacing w:line="540" w:lineRule="exact"/>
        <w:ind w:firstLine="480" w:firstLineChars="200"/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sz w:val="24"/>
        </w:rPr>
        <w:t>1.自然学科类，满足以下条件之一：</w:t>
      </w:r>
    </w:p>
    <w:p>
      <w:pPr>
        <w:spacing w:line="540" w:lineRule="exact"/>
        <w:ind w:firstLine="480" w:firstLineChars="200"/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sz w:val="24"/>
        </w:rPr>
        <w:t>（1）以第一作者或通讯作者发表SCI文章1篇且IF≥8分；</w:t>
      </w:r>
    </w:p>
    <w:p>
      <w:pPr>
        <w:spacing w:line="540" w:lineRule="exact"/>
        <w:ind w:firstLine="480" w:firstLineChars="200"/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sz w:val="24"/>
        </w:rPr>
        <w:t>（2）以第一作者或通讯作者发表JCR一区文章至少1篇；</w:t>
      </w:r>
    </w:p>
    <w:p>
      <w:pPr>
        <w:spacing w:line="540" w:lineRule="exact"/>
        <w:ind w:firstLine="480" w:firstLineChars="200"/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sz w:val="24"/>
        </w:rPr>
        <w:t>（3）以第一作者或通讯作者发表SCI文章，总IF≥15分；</w:t>
      </w:r>
    </w:p>
    <w:p>
      <w:pPr>
        <w:spacing w:line="540" w:lineRule="exact"/>
        <w:ind w:firstLine="480" w:firstLineChars="200"/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sz w:val="24"/>
        </w:rPr>
        <w:t>（4）作为有效排名人身份参与国家重大项目至少1项（须提交盖鲜章的申报书原件或本人签字复印件）；</w:t>
      </w:r>
    </w:p>
    <w:p>
      <w:pPr>
        <w:spacing w:line="540" w:lineRule="exact"/>
        <w:ind w:firstLine="480" w:firstLineChars="200"/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sz w:val="24"/>
        </w:rPr>
        <w:t>（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sz w:val="24"/>
        </w:rPr>
        <w:t>）获得国家发明专利2项。</w:t>
      </w:r>
    </w:p>
    <w:p>
      <w:pPr>
        <w:spacing w:line="540" w:lineRule="exact"/>
        <w:ind w:firstLine="480" w:firstLineChars="200"/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sz w:val="24"/>
        </w:rPr>
        <w:t>2.人文社科类，满足以下条件之一：</w:t>
      </w:r>
    </w:p>
    <w:p>
      <w:pPr>
        <w:spacing w:line="540" w:lineRule="exact"/>
        <w:ind w:firstLine="480" w:firstLineChars="200"/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sz w:val="24"/>
        </w:rPr>
        <w:t>（1）以第一作者或通讯作者发表CSSCI(不含扩展版)、SSCI、A﹠HCI 来源论文≥2 篇；</w:t>
      </w:r>
    </w:p>
    <w:p>
      <w:pPr>
        <w:spacing w:line="540" w:lineRule="exact"/>
        <w:ind w:firstLine="480" w:firstLineChars="200"/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sz w:val="24"/>
        </w:rPr>
        <w:t>（2）主持国家社科基金至少1项；</w:t>
      </w:r>
    </w:p>
    <w:p>
      <w:pPr>
        <w:spacing w:line="540" w:lineRule="exact"/>
        <w:ind w:firstLine="480" w:firstLineChars="200"/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sz w:val="24"/>
        </w:rPr>
        <w:t>（3）作为有效排名人身份参与国家重大项目至少1项（须提交盖鲜章的申报书原件或本人签字复印件）；</w:t>
      </w:r>
    </w:p>
    <w:p>
      <w:pPr>
        <w:spacing w:line="540" w:lineRule="exact"/>
        <w:ind w:firstLine="480" w:firstLineChars="200"/>
        <w:rPr>
          <w:rFonts w:hint="eastAsia" w:asciiTheme="majorEastAsia" w:hAnsiTheme="majorEastAsia" w:eastAsiaTheme="majorEastAsia" w:cstheme="majorEastAsia"/>
          <w:sz w:val="24"/>
        </w:rPr>
      </w:pPr>
      <w:r>
        <w:rPr>
          <w:rFonts w:hint="eastAsia" w:asciiTheme="majorEastAsia" w:hAnsiTheme="majorEastAsia" w:eastAsiaTheme="majorEastAsia" w:cstheme="majorEastAsia"/>
          <w:sz w:val="24"/>
        </w:rPr>
        <w:t>（4）出版与本专业（学科）相关的专著至少1本。</w:t>
      </w:r>
    </w:p>
    <w:p>
      <w:pPr>
        <w:spacing w:line="540" w:lineRule="exact"/>
        <w:ind w:firstLine="480" w:firstLineChars="200"/>
        <w:rPr>
          <w:rFonts w:asciiTheme="majorEastAsia" w:hAnsiTheme="majorEastAsia" w:eastAsiaTheme="majorEastAsia" w:cstheme="majorEastAsia"/>
          <w:sz w:val="24"/>
        </w:rPr>
      </w:pPr>
    </w:p>
    <w:p>
      <w:pPr>
        <w:spacing w:line="540" w:lineRule="exact"/>
        <w:ind w:firstLine="482" w:firstLineChars="200"/>
        <w:rPr>
          <w:rFonts w:asciiTheme="majorEastAsia" w:hAnsiTheme="majorEastAsia" w:eastAsiaTheme="majorEastAsia" w:cstheme="majorEastAsia"/>
          <w:b/>
          <w:bCs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</w:rPr>
        <w:t>特别优秀的人才不受上述限制，采用一事一议，具体面议。</w:t>
      </w:r>
    </w:p>
    <w:p>
      <w:pPr>
        <w:widowControl/>
        <w:spacing w:line="540" w:lineRule="exact"/>
        <w:ind w:firstLine="562" w:firstLineChars="200"/>
        <w:jc w:val="left"/>
        <w:rPr>
          <w:rFonts w:asciiTheme="majorEastAsia" w:hAnsiTheme="majorEastAsia" w:eastAsiaTheme="majorEastAsia" w:cstheme="majorEastAsia"/>
          <w:b/>
          <w:bCs/>
          <w:kern w:val="0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28"/>
          <w:szCs w:val="28"/>
        </w:rPr>
        <w:t>三、通迅地址及联系方式：</w:t>
      </w:r>
    </w:p>
    <w:p>
      <w:pPr>
        <w:widowControl/>
        <w:spacing w:line="540" w:lineRule="exact"/>
        <w:ind w:firstLine="560"/>
        <w:jc w:val="left"/>
        <w:rPr>
          <w:rFonts w:asciiTheme="majorEastAsia" w:hAnsiTheme="majorEastAsia" w:eastAsiaTheme="majorEastAsia" w:cstheme="majorEastAsia"/>
          <w:kern w:val="0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kern w:val="0"/>
          <w:sz w:val="28"/>
          <w:szCs w:val="28"/>
        </w:rPr>
        <w:t xml:space="preserve">地址：四川省泸州市龙马潭区香林路1段1号德诚楼7楼西南医科大学人事处 </w:t>
      </w:r>
    </w:p>
    <w:p>
      <w:pPr>
        <w:widowControl/>
        <w:spacing w:line="540" w:lineRule="exact"/>
        <w:ind w:firstLine="560"/>
        <w:jc w:val="left"/>
        <w:rPr>
          <w:rFonts w:asciiTheme="majorEastAsia" w:hAnsiTheme="majorEastAsia" w:eastAsiaTheme="majorEastAsia" w:cstheme="majorEastAsia"/>
          <w:kern w:val="0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kern w:val="0"/>
          <w:sz w:val="28"/>
          <w:szCs w:val="28"/>
        </w:rPr>
        <w:t>电话：0830-3160509       　　联系人：杨老师/文老师</w:t>
      </w:r>
    </w:p>
    <w:p>
      <w:pPr>
        <w:widowControl/>
        <w:spacing w:line="540" w:lineRule="exact"/>
        <w:ind w:firstLine="56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kern w:val="0"/>
          <w:sz w:val="28"/>
          <w:szCs w:val="28"/>
        </w:rPr>
        <w:t>电子邮箱:hr@swmu.edu.cn　　　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邮　编：646000</w:t>
      </w:r>
    </w:p>
    <w:p>
      <w:pPr>
        <w:widowControl/>
        <w:ind w:firstLine="56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drawing>
          <wp:inline distT="0" distB="0" distL="114300" distR="114300">
            <wp:extent cx="2106295" cy="2106295"/>
            <wp:effectExtent l="0" t="0" r="8255" b="8255"/>
            <wp:docPr id="1" name="图片 1" descr="学校官网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学校官网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06295" cy="210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 xml:space="preserve">       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drawing>
          <wp:inline distT="0" distB="0" distL="114300" distR="114300">
            <wp:extent cx="2134235" cy="2134235"/>
            <wp:effectExtent l="0" t="0" r="18415" b="18415"/>
            <wp:docPr id="2" name="图片 2" descr="人事处官网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人事处官网二维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34235" cy="213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ind w:firstLine="560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 xml:space="preserve">  学校官网               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 xml:space="preserve">    人事处官网</w:t>
      </w:r>
    </w:p>
    <w:p>
      <w:pPr>
        <w:spacing w:line="540" w:lineRule="exact"/>
        <w:ind w:firstLine="562" w:firstLineChars="200"/>
        <w:rPr>
          <w:rFonts w:asciiTheme="majorEastAsia" w:hAnsiTheme="majorEastAsia" w:eastAsiaTheme="majorEastAsia" w:cstheme="majorEastAsia"/>
          <w:b/>
          <w:bCs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四、来校考察路线：</w:t>
      </w:r>
    </w:p>
    <w:p>
      <w:pPr>
        <w:spacing w:line="540" w:lineRule="exact"/>
        <w:ind w:firstLine="560" w:firstLineChars="200"/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1、直飞泸州：到达云龙机场后，乘坐95路公交车到泸州客运中心站下车，步行20分钟或打车到西南医科大学城北校区。</w:t>
      </w:r>
    </w:p>
    <w:p>
      <w:pPr>
        <w:spacing w:line="540" w:lineRule="exact"/>
        <w:ind w:firstLine="560" w:firstLineChars="200"/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若无直达泸州云龙机场的航线请选择其他方式：</w:t>
      </w:r>
    </w:p>
    <w:p>
      <w:pPr>
        <w:spacing w:line="540" w:lineRule="exact"/>
        <w:ind w:firstLine="560" w:firstLineChars="200"/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2、飞抵重庆：T2、T3航站楼乘至泸州的机场大巴专线，全天候滚动发车，购票及上车地点位于航站楼内，较方便；也可拼车到泸州，泸渝快的订票电话18980257979，票价150元/人，需在航班起飞前预定。</w:t>
      </w:r>
    </w:p>
    <w:p>
      <w:pPr>
        <w:spacing w:line="540" w:lineRule="exact"/>
        <w:ind w:firstLine="560" w:firstLineChars="200"/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3、乘高铁到重庆：重庆北站—隆昌北站（约40分钟），出隆昌北站后有直达泸州的客运车。也可拼车到泸，订票电话15182511188,票价50元/人。隆昌北站到泸州约1小时。</w:t>
      </w:r>
    </w:p>
    <w:p>
      <w:pPr>
        <w:spacing w:line="540" w:lineRule="exact"/>
        <w:ind w:firstLine="560" w:firstLineChars="200"/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4、飞抵成都：可选择坐客车直达泸州，也可在成都东站坐高铁到隆昌北站。</w:t>
      </w:r>
    </w:p>
    <w:p>
      <w:pPr>
        <w:spacing w:line="540" w:lineRule="exact"/>
        <w:ind w:firstLine="560" w:firstLineChars="200"/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5、乘高铁到成都：成都东站—隆昌北站（约50分钟），出隆昌北站后有直达泸州的客运车。也可拼车到泸，订票电话15182511188,票价50元/人。隆昌北站到泸州约1小时。</w:t>
      </w:r>
    </w:p>
    <w:p>
      <w:pPr>
        <w:spacing w:line="540" w:lineRule="exact"/>
        <w:ind w:firstLine="560" w:firstLineChars="200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来我校考察面试的博士，我校可报销一定的交通费及住宿费(须报销凭证)。具体请与我校工作人员联系。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320C99"/>
    <w:rsid w:val="000474D7"/>
    <w:rsid w:val="0007413F"/>
    <w:rsid w:val="000E3AC3"/>
    <w:rsid w:val="00107AA3"/>
    <w:rsid w:val="00126024"/>
    <w:rsid w:val="001A4F90"/>
    <w:rsid w:val="00216829"/>
    <w:rsid w:val="00242B89"/>
    <w:rsid w:val="00287E5F"/>
    <w:rsid w:val="00320C99"/>
    <w:rsid w:val="00366EA7"/>
    <w:rsid w:val="003E5DCA"/>
    <w:rsid w:val="00405985"/>
    <w:rsid w:val="004275D6"/>
    <w:rsid w:val="00462FAE"/>
    <w:rsid w:val="004F04D0"/>
    <w:rsid w:val="005C6121"/>
    <w:rsid w:val="0060271A"/>
    <w:rsid w:val="006453D3"/>
    <w:rsid w:val="00664D3C"/>
    <w:rsid w:val="00685165"/>
    <w:rsid w:val="006D218B"/>
    <w:rsid w:val="006E74B5"/>
    <w:rsid w:val="00741344"/>
    <w:rsid w:val="007443CC"/>
    <w:rsid w:val="007C1356"/>
    <w:rsid w:val="007C14C0"/>
    <w:rsid w:val="007F5BA6"/>
    <w:rsid w:val="00850326"/>
    <w:rsid w:val="00880C37"/>
    <w:rsid w:val="00896694"/>
    <w:rsid w:val="00955DBC"/>
    <w:rsid w:val="009C1DF4"/>
    <w:rsid w:val="009E53FA"/>
    <w:rsid w:val="00A313BD"/>
    <w:rsid w:val="00A40357"/>
    <w:rsid w:val="00B46550"/>
    <w:rsid w:val="00B743DB"/>
    <w:rsid w:val="00BA70BC"/>
    <w:rsid w:val="00BD2DC2"/>
    <w:rsid w:val="00C71B8C"/>
    <w:rsid w:val="00CD7F75"/>
    <w:rsid w:val="00D85792"/>
    <w:rsid w:val="00DE6092"/>
    <w:rsid w:val="00E0046A"/>
    <w:rsid w:val="00E038CE"/>
    <w:rsid w:val="00E33400"/>
    <w:rsid w:val="00EB303E"/>
    <w:rsid w:val="00EE1995"/>
    <w:rsid w:val="00EE2556"/>
    <w:rsid w:val="00F17983"/>
    <w:rsid w:val="00F957BA"/>
    <w:rsid w:val="00FB4A4B"/>
    <w:rsid w:val="022079CC"/>
    <w:rsid w:val="02B73948"/>
    <w:rsid w:val="031A261D"/>
    <w:rsid w:val="033E2796"/>
    <w:rsid w:val="03F22661"/>
    <w:rsid w:val="045C0AE9"/>
    <w:rsid w:val="04966823"/>
    <w:rsid w:val="05C63620"/>
    <w:rsid w:val="05E2163C"/>
    <w:rsid w:val="06987BBC"/>
    <w:rsid w:val="06D61CCD"/>
    <w:rsid w:val="071C42A1"/>
    <w:rsid w:val="077B60D6"/>
    <w:rsid w:val="07A7664E"/>
    <w:rsid w:val="09396E54"/>
    <w:rsid w:val="0C8C796B"/>
    <w:rsid w:val="0D2B7093"/>
    <w:rsid w:val="0D314526"/>
    <w:rsid w:val="0DD06015"/>
    <w:rsid w:val="0E694656"/>
    <w:rsid w:val="12A8789D"/>
    <w:rsid w:val="15D82B6A"/>
    <w:rsid w:val="167E2B99"/>
    <w:rsid w:val="16D9613C"/>
    <w:rsid w:val="178C7CAF"/>
    <w:rsid w:val="17DC0DD0"/>
    <w:rsid w:val="1A26159D"/>
    <w:rsid w:val="1BA57A7D"/>
    <w:rsid w:val="1F144F86"/>
    <w:rsid w:val="22F66E20"/>
    <w:rsid w:val="24002D53"/>
    <w:rsid w:val="24396C3D"/>
    <w:rsid w:val="252A6B27"/>
    <w:rsid w:val="2688085F"/>
    <w:rsid w:val="28507EB6"/>
    <w:rsid w:val="28534109"/>
    <w:rsid w:val="29547DA0"/>
    <w:rsid w:val="2B2A6338"/>
    <w:rsid w:val="2D054A13"/>
    <w:rsid w:val="2D214C4C"/>
    <w:rsid w:val="2D645F57"/>
    <w:rsid w:val="2D670662"/>
    <w:rsid w:val="2DFD567C"/>
    <w:rsid w:val="316F136C"/>
    <w:rsid w:val="32D315BE"/>
    <w:rsid w:val="34753B32"/>
    <w:rsid w:val="3477366C"/>
    <w:rsid w:val="35502D84"/>
    <w:rsid w:val="36AF749B"/>
    <w:rsid w:val="37F12939"/>
    <w:rsid w:val="3AF6158A"/>
    <w:rsid w:val="3D137103"/>
    <w:rsid w:val="3E962AEB"/>
    <w:rsid w:val="403937A0"/>
    <w:rsid w:val="415E0CE8"/>
    <w:rsid w:val="41B20C21"/>
    <w:rsid w:val="44C0302A"/>
    <w:rsid w:val="459B6179"/>
    <w:rsid w:val="467A4BD3"/>
    <w:rsid w:val="4D1B75F6"/>
    <w:rsid w:val="4D557971"/>
    <w:rsid w:val="4D6550EB"/>
    <w:rsid w:val="4DC0378D"/>
    <w:rsid w:val="4F8928DD"/>
    <w:rsid w:val="527D21B2"/>
    <w:rsid w:val="55F3040B"/>
    <w:rsid w:val="568D59D9"/>
    <w:rsid w:val="583033FF"/>
    <w:rsid w:val="58406A4F"/>
    <w:rsid w:val="58D20A09"/>
    <w:rsid w:val="59A35320"/>
    <w:rsid w:val="59C6133E"/>
    <w:rsid w:val="5AE17903"/>
    <w:rsid w:val="5AF43AF5"/>
    <w:rsid w:val="5C1919AD"/>
    <w:rsid w:val="5CEE65D4"/>
    <w:rsid w:val="5D38490D"/>
    <w:rsid w:val="6120121F"/>
    <w:rsid w:val="6320322B"/>
    <w:rsid w:val="63D1527F"/>
    <w:rsid w:val="649A3ED0"/>
    <w:rsid w:val="67996655"/>
    <w:rsid w:val="6ABB28BC"/>
    <w:rsid w:val="6AD93AB1"/>
    <w:rsid w:val="6E646D41"/>
    <w:rsid w:val="6ED807ED"/>
    <w:rsid w:val="71F87EF0"/>
    <w:rsid w:val="759629BA"/>
    <w:rsid w:val="764D1B32"/>
    <w:rsid w:val="770359BE"/>
    <w:rsid w:val="7B5B0073"/>
    <w:rsid w:val="7D1F6F6E"/>
    <w:rsid w:val="7D2F6177"/>
    <w:rsid w:val="7F58757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uiPriority w:val="0"/>
    <w:rPr>
      <w:sz w:val="18"/>
      <w:szCs w:val="18"/>
    </w:r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FollowedHyperlink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styleId="11">
    <w:name w:val="Hyperlink"/>
    <w:basedOn w:val="8"/>
    <w:qFormat/>
    <w:uiPriority w:val="0"/>
    <w:rPr>
      <w:color w:val="0000FF"/>
      <w:u w:val="none"/>
    </w:rPr>
  </w:style>
  <w:style w:type="character" w:customStyle="1" w:styleId="12">
    <w:name w:val="页眉 Char"/>
    <w:basedOn w:val="8"/>
    <w:link w:val="4"/>
    <w:qFormat/>
    <w:uiPriority w:val="0"/>
    <w:rPr>
      <w:rFonts w:asciiTheme="minorHAnsi" w:hAnsiTheme="minorHAnsi" w:cstheme="minorBidi"/>
      <w:kern w:val="2"/>
      <w:sz w:val="18"/>
      <w:szCs w:val="18"/>
    </w:rPr>
  </w:style>
  <w:style w:type="character" w:customStyle="1" w:styleId="13">
    <w:name w:val="页脚 Char"/>
    <w:basedOn w:val="8"/>
    <w:link w:val="3"/>
    <w:qFormat/>
    <w:uiPriority w:val="0"/>
    <w:rPr>
      <w:rFonts w:asciiTheme="minorHAnsi" w:hAnsiTheme="minorHAnsi" w:cstheme="minorBidi"/>
      <w:kern w:val="2"/>
      <w:sz w:val="18"/>
      <w:szCs w:val="18"/>
    </w:rPr>
  </w:style>
  <w:style w:type="paragraph" w:customStyle="1" w:styleId="14">
    <w:name w:val="列出段落1"/>
    <w:basedOn w:val="1"/>
    <w:unhideWhenUsed/>
    <w:qFormat/>
    <w:uiPriority w:val="99"/>
    <w:pPr>
      <w:ind w:firstLine="420" w:firstLineChars="200"/>
    </w:pPr>
  </w:style>
  <w:style w:type="character" w:customStyle="1" w:styleId="15">
    <w:name w:val="批注框文本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325</Words>
  <Characters>1854</Characters>
  <Lines>15</Lines>
  <Paragraphs>4</Paragraphs>
  <TotalTime>43</TotalTime>
  <ScaleCrop>false</ScaleCrop>
  <LinksUpToDate>false</LinksUpToDate>
  <CharactersWithSpaces>2175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qch</dc:creator>
  <cp:lastModifiedBy>百事可乐</cp:lastModifiedBy>
  <cp:lastPrinted>2017-03-06T09:48:00Z</cp:lastPrinted>
  <dcterms:modified xsi:type="dcterms:W3CDTF">2020-01-03T07:14:15Z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